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1" w:rsidRPr="00061E01" w:rsidRDefault="00061E01" w:rsidP="00061E0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1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061E01" w:rsidRPr="00061E01" w:rsidRDefault="00061E01" w:rsidP="00061E01">
      <w:pPr>
        <w:spacing w:after="0" w:line="240" w:lineRule="auto"/>
        <w:ind w:left="975"/>
        <w:contextualSpacing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приказу № 38</w:t>
      </w:r>
      <w:r w:rsidRPr="00061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</w:t>
      </w:r>
      <w:r w:rsidRPr="00061E01"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13</w:t>
      </w:r>
      <w:r w:rsidRPr="00061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061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</w:t>
      </w:r>
    </w:p>
    <w:p w:rsidR="00061E01" w:rsidRPr="00061E01" w:rsidRDefault="00061E01" w:rsidP="00061E01">
      <w:pPr>
        <w:spacing w:after="0" w:line="240" w:lineRule="auto"/>
        <w:ind w:left="975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</w:pPr>
      <w:r w:rsidRPr="00061E01"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  <w:t>План проведения процедур ВСОКО на 202</w:t>
      </w:r>
      <w:r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  <w:t>2</w:t>
      </w:r>
      <w:r w:rsidRPr="00061E01"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  <w:t>3</w:t>
      </w:r>
      <w:r w:rsidRPr="00061E01">
        <w:rPr>
          <w:rFonts w:ascii="Times New Roman" w:eastAsia="Times New Roman" w:hAnsi="Times New Roman" w:cs="Times New Roman"/>
          <w:b/>
          <w:spacing w:val="2"/>
          <w:sz w:val="24"/>
          <w:szCs w:val="20"/>
          <w:lang w:eastAsia="ru-RU"/>
        </w:rPr>
        <w:t xml:space="preserve"> учебный год </w:t>
      </w:r>
    </w:p>
    <w:p w:rsidR="00061E01" w:rsidRPr="00061E01" w:rsidRDefault="00061E01" w:rsidP="00061E01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pacing w:val="2"/>
          <w:sz w:val="24"/>
          <w:szCs w:val="20"/>
          <w:lang w:eastAsia="ru-RU"/>
        </w:rPr>
      </w:pPr>
    </w:p>
    <w:p w:rsidR="00061E01" w:rsidRPr="00061E01" w:rsidRDefault="00061E01" w:rsidP="00061E01">
      <w:pPr>
        <w:spacing w:after="0" w:line="240" w:lineRule="auto"/>
        <w:ind w:left="4395"/>
        <w:rPr>
          <w:rFonts w:ascii="Times New Roman" w:eastAsia="Calibri" w:hAnsi="Times New Roman" w:cs="Calibri"/>
          <w:sz w:val="20"/>
          <w:szCs w:val="20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1"/>
        <w:gridCol w:w="2782"/>
        <w:gridCol w:w="1585"/>
        <w:gridCol w:w="2313"/>
        <w:gridCol w:w="2260"/>
      </w:tblGrid>
      <w:tr w:rsidR="00061E01" w:rsidRPr="00061E01" w:rsidTr="00061E01">
        <w:trPr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061E01">
              <w:rPr>
                <w:rFonts w:ascii="Times New Roman" w:hAnsi="Times New Roman" w:cs="Calibri"/>
                <w:b/>
                <w:sz w:val="20"/>
                <w:szCs w:val="20"/>
              </w:rPr>
              <w:t>№ п\</w:t>
            </w:r>
            <w:proofErr w:type="gramStart"/>
            <w:r w:rsidRPr="00061E01">
              <w:rPr>
                <w:rFonts w:ascii="Times New Roman" w:hAnsi="Times New Roman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061E01">
              <w:rPr>
                <w:rFonts w:ascii="Times New Roman" w:hAnsi="Times New Roman" w:cs="Calibri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061E01">
              <w:rPr>
                <w:rFonts w:ascii="Times New Roman" w:hAnsi="Times New Roman" w:cs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061E01">
              <w:rPr>
                <w:rFonts w:ascii="Times New Roman" w:hAnsi="Times New Roman" w:cs="Calibri"/>
                <w:b/>
                <w:sz w:val="20"/>
                <w:szCs w:val="20"/>
              </w:rPr>
              <w:t>Метод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061E01">
              <w:rPr>
                <w:rFonts w:ascii="Times New Roman" w:hAnsi="Times New Roman" w:cs="Calibri"/>
                <w:b/>
                <w:sz w:val="20"/>
                <w:szCs w:val="20"/>
              </w:rPr>
              <w:t>Форма предоставления отчетности</w:t>
            </w:r>
          </w:p>
        </w:tc>
      </w:tr>
      <w:tr w:rsidR="00061E01" w:rsidRPr="00061E01" w:rsidTr="00061E01">
        <w:trPr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0</w:t>
            </w:r>
            <w:r>
              <w:rPr>
                <w:rFonts w:ascii="Times New Roman" w:hAnsi="Times New Roman" w:cs="Calibri"/>
                <w:sz w:val="24"/>
                <w:szCs w:val="20"/>
              </w:rPr>
              <w:t>3</w:t>
            </w:r>
            <w:r w:rsidRPr="00061E01">
              <w:rPr>
                <w:rFonts w:ascii="Times New Roman" w:hAnsi="Times New Roman" w:cs="Calibri"/>
                <w:sz w:val="24"/>
                <w:szCs w:val="20"/>
              </w:rPr>
              <w:t>.04 -  1</w:t>
            </w:r>
            <w:r>
              <w:rPr>
                <w:rFonts w:ascii="Times New Roman" w:hAnsi="Times New Roman" w:cs="Calibri"/>
                <w:sz w:val="24"/>
                <w:szCs w:val="20"/>
              </w:rPr>
              <w:t>7</w:t>
            </w:r>
            <w:r w:rsidRPr="00061E01">
              <w:rPr>
                <w:rFonts w:ascii="Times New Roman" w:hAnsi="Times New Roman" w:cs="Calibri"/>
                <w:sz w:val="24"/>
                <w:szCs w:val="20"/>
              </w:rPr>
              <w:t>.04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 xml:space="preserve">Мониторинг официального сайта ДОУ, информации о ДОУ на официальном сайте в сети Интернет www.bus.gov.ru 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Заполнение оценочного листа для проведения процедуры ВСОКО по данному критерию. Аналитическая справка</w:t>
            </w:r>
          </w:p>
        </w:tc>
      </w:tr>
      <w:tr w:rsidR="00061E01" w:rsidRPr="00061E01" w:rsidTr="00061E01">
        <w:trPr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06.04 -  1</w:t>
            </w:r>
            <w:r>
              <w:rPr>
                <w:rFonts w:ascii="Times New Roman" w:hAnsi="Times New Roman" w:cs="Calibri"/>
                <w:sz w:val="24"/>
                <w:szCs w:val="20"/>
              </w:rPr>
              <w:t>7</w:t>
            </w:r>
            <w:r w:rsidRPr="00061E01">
              <w:rPr>
                <w:rFonts w:ascii="Times New Roman" w:hAnsi="Times New Roman" w:cs="Calibri"/>
                <w:sz w:val="24"/>
                <w:szCs w:val="20"/>
              </w:rPr>
              <w:t>.04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Анализ паспортов групп, кабинетов, маркетинговой карты ДОУ. Визуальный осмотр помещений ДОУ.</w:t>
            </w:r>
          </w:p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Анализ карты результативности участия ДОУ в конкурсах разного уровня.</w:t>
            </w:r>
          </w:p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Анализ комплектования групп, наличие специалистов для работы с детьми с ОВЗ.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Заполнение оценочного листа для проведения процедуры ВСОКО по данному критерию. Аналитическая справка</w:t>
            </w:r>
          </w:p>
        </w:tc>
      </w:tr>
      <w:tr w:rsidR="00061E01" w:rsidRPr="00061E01" w:rsidTr="00061E01">
        <w:trPr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Условия качества реализации образовательной деятельности в ДОУ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08.04 -  20</w:t>
            </w:r>
            <w:r w:rsidRPr="00061E01">
              <w:rPr>
                <w:rFonts w:ascii="Times New Roman" w:hAnsi="Times New Roman" w:cs="Calibri"/>
                <w:sz w:val="24"/>
                <w:szCs w:val="20"/>
              </w:rPr>
              <w:t>.04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Анализ листов оценивания образовательной деятельности педагогов.</w:t>
            </w:r>
          </w:p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Анализ участия ДОУ и  педагогов ДОУ на основании карты результативности участия ДОУ в конкурсах разного уровня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Заполнение оценочного листа для проведения процедуры ВСОКО по данному критерию.</w:t>
            </w:r>
          </w:p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Аналитическая справка</w:t>
            </w:r>
          </w:p>
        </w:tc>
      </w:tr>
      <w:tr w:rsidR="00061E01" w:rsidRPr="00061E01" w:rsidTr="00061E01">
        <w:trPr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11.04 - 2</w:t>
            </w:r>
            <w:r>
              <w:rPr>
                <w:rFonts w:ascii="Times New Roman" w:hAnsi="Times New Roman" w:cs="Calibri"/>
                <w:sz w:val="24"/>
                <w:szCs w:val="20"/>
              </w:rPr>
              <w:t>8</w:t>
            </w:r>
            <w:bookmarkStart w:id="0" w:name="_GoBack"/>
            <w:bookmarkEnd w:id="0"/>
            <w:r w:rsidRPr="00061E01">
              <w:rPr>
                <w:rFonts w:ascii="Times New Roman" w:hAnsi="Times New Roman" w:cs="Calibri"/>
                <w:sz w:val="24"/>
                <w:szCs w:val="20"/>
              </w:rPr>
              <w:t>.04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Анкетирование родителей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01" w:rsidRPr="00061E01" w:rsidRDefault="00061E01" w:rsidP="00061E01">
            <w:pPr>
              <w:rPr>
                <w:rFonts w:ascii="Times New Roman" w:hAnsi="Times New Roman" w:cs="Calibri"/>
                <w:sz w:val="24"/>
                <w:szCs w:val="20"/>
              </w:rPr>
            </w:pPr>
            <w:r w:rsidRPr="00061E01">
              <w:rPr>
                <w:rFonts w:ascii="Times New Roman" w:hAnsi="Times New Roman" w:cs="Calibri"/>
                <w:sz w:val="24"/>
                <w:szCs w:val="20"/>
              </w:rPr>
              <w:t>Заполнение оценочного листа для проведения процедуры ВСОКО по данному критерию</w:t>
            </w:r>
          </w:p>
        </w:tc>
      </w:tr>
    </w:tbl>
    <w:p w:rsidR="00A20D20" w:rsidRDefault="00A20D20"/>
    <w:sectPr w:rsidR="00A2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A"/>
    <w:rsid w:val="00061E01"/>
    <w:rsid w:val="0099357A"/>
    <w:rsid w:val="00A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1E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1E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2023-12-04T06:59:00Z</dcterms:created>
  <dcterms:modified xsi:type="dcterms:W3CDTF">2023-12-04T07:01:00Z</dcterms:modified>
</cp:coreProperties>
</file>